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11" w:rsidRPr="002679F6" w:rsidRDefault="00463411" w:rsidP="00463411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z w:val="28"/>
          <w:szCs w:val="28"/>
        </w:rPr>
      </w:pPr>
    </w:p>
    <w:p w:rsidR="00463411" w:rsidRPr="002679F6" w:rsidRDefault="001C4DAB" w:rsidP="00463411">
      <w:pPr>
        <w:pStyle w:val="NormalnyWeb"/>
        <w:spacing w:before="0" w:beforeAutospacing="0" w:after="0" w:afterAutospacing="0"/>
        <w:jc w:val="right"/>
        <w:rPr>
          <w:rFonts w:ascii="Garamond" w:hAnsi="Garamond"/>
        </w:rPr>
      </w:pPr>
      <w:r w:rsidRPr="001747F5">
        <w:rPr>
          <w:rFonts w:ascii="Garamond" w:hAnsi="Garamond"/>
        </w:rPr>
        <w:t xml:space="preserve">Kraków, </w:t>
      </w:r>
      <w:r w:rsidR="001747F5" w:rsidRPr="001747F5">
        <w:rPr>
          <w:rFonts w:ascii="Garamond" w:hAnsi="Garamond"/>
        </w:rPr>
        <w:t>23</w:t>
      </w:r>
      <w:r w:rsidR="00406C89" w:rsidRPr="001747F5">
        <w:rPr>
          <w:rFonts w:ascii="Garamond" w:hAnsi="Garamond"/>
        </w:rPr>
        <w:t>.08.2021r</w:t>
      </w:r>
    </w:p>
    <w:p w:rsidR="00463411" w:rsidRPr="002679F6" w:rsidRDefault="00463411" w:rsidP="00463411">
      <w:pPr>
        <w:pStyle w:val="Normalny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</w:p>
    <w:p w:rsidR="00463411" w:rsidRPr="002679F6" w:rsidRDefault="00463411" w:rsidP="00463411">
      <w:pPr>
        <w:pStyle w:val="NormalnyWeb"/>
        <w:spacing w:before="0" w:beforeAutospacing="0" w:after="0" w:afterAutospacing="0"/>
        <w:jc w:val="center"/>
        <w:rPr>
          <w:rFonts w:ascii="Garamond" w:hAnsi="Garamond"/>
          <w:b/>
          <w:sz w:val="28"/>
          <w:szCs w:val="28"/>
        </w:rPr>
      </w:pPr>
      <w:r w:rsidRPr="002679F6">
        <w:rPr>
          <w:rFonts w:ascii="Garamond" w:hAnsi="Garamond"/>
          <w:b/>
          <w:sz w:val="28"/>
          <w:szCs w:val="28"/>
        </w:rPr>
        <w:t>ZAPYTANIE OFERTOWE</w:t>
      </w:r>
    </w:p>
    <w:p w:rsidR="00463411" w:rsidRPr="002679F6" w:rsidRDefault="00463411" w:rsidP="00463411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z w:val="28"/>
          <w:szCs w:val="28"/>
        </w:rPr>
      </w:pPr>
    </w:p>
    <w:p w:rsidR="00463411" w:rsidRPr="002679F6" w:rsidRDefault="00463411" w:rsidP="00463411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463411" w:rsidRPr="002679F6" w:rsidRDefault="00463411" w:rsidP="00463411">
      <w:pPr>
        <w:pStyle w:val="Default"/>
        <w:jc w:val="both"/>
        <w:rPr>
          <w:rFonts w:ascii="Garamond" w:eastAsia="Arial" w:hAnsi="Garamond"/>
          <w:b/>
          <w:bCs/>
        </w:rPr>
      </w:pPr>
    </w:p>
    <w:p w:rsidR="009A02FC" w:rsidRPr="002679F6" w:rsidRDefault="009A02FC" w:rsidP="00463411">
      <w:pPr>
        <w:pStyle w:val="Default"/>
        <w:spacing w:line="360" w:lineRule="auto"/>
        <w:jc w:val="both"/>
        <w:rPr>
          <w:rFonts w:ascii="Garamond" w:eastAsia="Arial" w:hAnsi="Garamond"/>
          <w:b/>
          <w:bCs/>
        </w:rPr>
      </w:pPr>
      <w:r w:rsidRPr="002679F6">
        <w:rPr>
          <w:rFonts w:ascii="Garamond" w:eastAsia="Arial" w:hAnsi="Garamond"/>
          <w:b/>
          <w:bCs/>
        </w:rPr>
        <w:t>NAZWA I ADRES ZAMAWIAJĄCEGO:</w:t>
      </w:r>
    </w:p>
    <w:p w:rsidR="00463411" w:rsidRPr="002679F6" w:rsidRDefault="00463411" w:rsidP="00463411">
      <w:pPr>
        <w:pStyle w:val="Default"/>
        <w:spacing w:line="360" w:lineRule="auto"/>
        <w:jc w:val="both"/>
        <w:rPr>
          <w:rFonts w:ascii="Garamond" w:eastAsia="Arial" w:hAnsi="Garamond"/>
        </w:rPr>
      </w:pPr>
      <w:r w:rsidRPr="002679F6">
        <w:rPr>
          <w:rFonts w:ascii="Garamond" w:eastAsia="Arial" w:hAnsi="Garamond"/>
        </w:rPr>
        <w:t>Uniwersytet Rolniczy im. Hugona Kołłątaja w Krakowie</w:t>
      </w:r>
    </w:p>
    <w:p w:rsidR="00463411" w:rsidRPr="002679F6" w:rsidRDefault="00BA77FC" w:rsidP="00463411">
      <w:pPr>
        <w:spacing w:after="0" w:line="360" w:lineRule="auto"/>
        <w:jc w:val="both"/>
        <w:rPr>
          <w:rFonts w:ascii="Garamond" w:eastAsia="Arial" w:hAnsi="Garamond"/>
          <w:sz w:val="24"/>
          <w:szCs w:val="24"/>
        </w:rPr>
      </w:pPr>
      <w:r w:rsidRPr="002679F6">
        <w:rPr>
          <w:rFonts w:ascii="Garamond" w:eastAsia="Arial" w:hAnsi="Garamond"/>
          <w:sz w:val="24"/>
          <w:szCs w:val="24"/>
        </w:rPr>
        <w:t>Al</w:t>
      </w:r>
      <w:r w:rsidR="00463411" w:rsidRPr="002679F6">
        <w:rPr>
          <w:rFonts w:ascii="Garamond" w:eastAsia="Arial" w:hAnsi="Garamond"/>
          <w:sz w:val="24"/>
          <w:szCs w:val="24"/>
        </w:rPr>
        <w:t>.  Mickiewicza 21, 31-120 Kraków</w:t>
      </w:r>
    </w:p>
    <w:p w:rsidR="00463411" w:rsidRPr="002679F6" w:rsidRDefault="00463411" w:rsidP="00463411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463411" w:rsidRPr="002679F6" w:rsidRDefault="002C11FF" w:rsidP="00463411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  <w:r w:rsidRPr="002679F6">
        <w:rPr>
          <w:rFonts w:ascii="Garamond" w:hAnsi="Garamond"/>
          <w:b/>
        </w:rPr>
        <w:t>SKRÓCONY OPIS PRZEDMIOTU</w:t>
      </w:r>
      <w:r w:rsidR="009A02FC" w:rsidRPr="002679F6">
        <w:rPr>
          <w:rFonts w:ascii="Garamond" w:hAnsi="Garamond"/>
          <w:b/>
        </w:rPr>
        <w:t xml:space="preserve"> ZAMÓWIENIA</w:t>
      </w:r>
    </w:p>
    <w:p w:rsidR="00463411" w:rsidRPr="002679F6" w:rsidRDefault="00463411" w:rsidP="00463411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z w:val="28"/>
          <w:szCs w:val="28"/>
        </w:rPr>
      </w:pPr>
    </w:p>
    <w:p w:rsidR="00753BB4" w:rsidRPr="00753BB4" w:rsidRDefault="00753BB4" w:rsidP="00753BB4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sz w:val="24"/>
          <w:szCs w:val="24"/>
          <w:lang w:eastAsia="pl-PL"/>
        </w:rPr>
        <w:t>Przedmiotem zamówienia jest:</w:t>
      </w:r>
    </w:p>
    <w:p w:rsidR="00753BB4" w:rsidRPr="00753BB4" w:rsidRDefault="00753BB4" w:rsidP="00753BB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sz w:val="24"/>
          <w:szCs w:val="24"/>
          <w:lang w:eastAsia="pl-PL"/>
        </w:rPr>
        <w:t>zakupu gry szkoleniowej online</w:t>
      </w:r>
    </w:p>
    <w:p w:rsidR="00753BB4" w:rsidRPr="00753BB4" w:rsidRDefault="000258BE" w:rsidP="00753BB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zakup czterech gier szkoleniowych stacjonarnych</w:t>
      </w:r>
      <w:r w:rsidR="00753BB4" w:rsidRPr="00753BB4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</w:p>
    <w:p w:rsidR="00753BB4" w:rsidRDefault="00753BB4" w:rsidP="00753BB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związanych</w:t>
      </w:r>
      <w:r w:rsidRPr="00753B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pl-PL"/>
        </w:rPr>
        <w:t>z realizacją</w:t>
      </w:r>
      <w:r w:rsidRPr="00753BB4">
        <w:rPr>
          <w:rFonts w:ascii="Garamond" w:eastAsia="Times New Roman" w:hAnsi="Garamond"/>
          <w:sz w:val="24"/>
          <w:szCs w:val="24"/>
          <w:lang w:eastAsia="pl-PL"/>
        </w:rPr>
        <w:t xml:space="preserve"> projektu: ,,</w:t>
      </w:r>
      <w:r w:rsidRPr="00753BB4">
        <w:rPr>
          <w:rFonts w:ascii="Garamond" w:hAnsi="Garamond"/>
          <w:sz w:val="24"/>
          <w:szCs w:val="24"/>
        </w:rPr>
        <w:t>Zintegrowany Program Uniwersytetu Rolniczego im.  H.  Kołłątaja w Krakowie” w związku z realizacją zadania numer 4 Wsparcie świadczenia wysokiej jakości usług przez Biuro Karier Uniwersytetu Rolniczego w Krakowie</w:t>
      </w:r>
      <w:r>
        <w:rPr>
          <w:rFonts w:ascii="Garamond" w:hAnsi="Garamond"/>
          <w:sz w:val="24"/>
          <w:szCs w:val="24"/>
        </w:rPr>
        <w:t>.</w:t>
      </w:r>
    </w:p>
    <w:p w:rsidR="00753BB4" w:rsidRPr="00753BB4" w:rsidRDefault="00753BB4" w:rsidP="00753BB4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53BB4">
        <w:rPr>
          <w:rFonts w:ascii="Garamond" w:hAnsi="Garamond"/>
          <w:sz w:val="24"/>
          <w:szCs w:val="24"/>
        </w:rPr>
        <w:t xml:space="preserve"> </w:t>
      </w:r>
    </w:p>
    <w:p w:rsidR="00753BB4" w:rsidRPr="00753BB4" w:rsidRDefault="00753BB4" w:rsidP="00753BB4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53BB4">
        <w:rPr>
          <w:rFonts w:ascii="Garamond" w:eastAsia="Arial" w:hAnsi="Garamond"/>
          <w:b/>
          <w:bCs/>
          <w:sz w:val="24"/>
          <w:szCs w:val="24"/>
        </w:rPr>
        <w:t>W</w:t>
      </w:r>
      <w:r w:rsidRPr="00753BB4">
        <w:rPr>
          <w:rFonts w:ascii="Garamond" w:hAnsi="Garamond"/>
          <w:b/>
          <w:bCs/>
          <w:sz w:val="24"/>
          <w:szCs w:val="24"/>
        </w:rPr>
        <w:t>ymagania wobec gry szkoleniowej online:</w:t>
      </w:r>
    </w:p>
    <w:p w:rsidR="00753BB4" w:rsidRPr="00753BB4" w:rsidRDefault="00753BB4" w:rsidP="00753BB4">
      <w:pPr>
        <w:numPr>
          <w:ilvl w:val="0"/>
          <w:numId w:val="12"/>
        </w:numPr>
        <w:spacing w:after="0" w:line="360" w:lineRule="auto"/>
        <w:ind w:left="0"/>
        <w:contextualSpacing/>
        <w:rPr>
          <w:rFonts w:ascii="Garamond" w:eastAsiaTheme="minorHAnsi" w:hAnsi="Garamond"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Dostawa gry szkoleniowej </w:t>
      </w:r>
      <w:r w:rsidRPr="00753BB4">
        <w:rPr>
          <w:rFonts w:ascii="Garamond" w:eastAsia="Times New Roman" w:hAnsi="Garamond"/>
          <w:sz w:val="24"/>
          <w:szCs w:val="24"/>
          <w:lang w:eastAsia="pl-PL"/>
        </w:rPr>
        <w:t>w wersji online</w:t>
      </w:r>
      <w:r w:rsidRPr="00753BB4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, które </w:t>
      </w:r>
      <w:r w:rsidRPr="00753BB4">
        <w:rPr>
          <w:rFonts w:ascii="Garamond" w:hAnsi="Garamond"/>
          <w:sz w:val="24"/>
          <w:szCs w:val="24"/>
        </w:rPr>
        <w:t xml:space="preserve">Gra online diagnozująca i rozwijająca kompetencje </w:t>
      </w:r>
      <w:r w:rsidR="00C31540">
        <w:rPr>
          <w:rFonts w:ascii="Garamond" w:hAnsi="Garamond"/>
          <w:sz w:val="24"/>
          <w:szCs w:val="24"/>
        </w:rPr>
        <w:t xml:space="preserve">związane z odnalezieniem się w </w:t>
      </w:r>
      <w:r w:rsidRPr="00753BB4">
        <w:rPr>
          <w:rFonts w:ascii="Garamond" w:hAnsi="Garamond"/>
          <w:sz w:val="24"/>
          <w:szCs w:val="24"/>
        </w:rPr>
        <w:t>warunkach zmiany oraz wspierająca kompetencje p</w:t>
      </w:r>
      <w:r w:rsidR="00C31540">
        <w:rPr>
          <w:rFonts w:ascii="Garamond" w:hAnsi="Garamond"/>
          <w:sz w:val="24"/>
          <w:szCs w:val="24"/>
        </w:rPr>
        <w:t xml:space="preserve">rzywódcze i poczucie pracy nad </w:t>
      </w:r>
      <w:r w:rsidRPr="00753BB4">
        <w:rPr>
          <w:rFonts w:ascii="Garamond" w:hAnsi="Garamond"/>
          <w:sz w:val="24"/>
          <w:szCs w:val="24"/>
        </w:rPr>
        <w:t xml:space="preserve">wspólnym celem. </w:t>
      </w:r>
      <w:r w:rsidRPr="00753BB4">
        <w:rPr>
          <w:rFonts w:ascii="Garamond" w:eastAsia="Times New Roman" w:hAnsi="Garamond"/>
          <w:sz w:val="24"/>
          <w:szCs w:val="24"/>
          <w:lang w:eastAsia="pl-PL"/>
        </w:rPr>
        <w:t xml:space="preserve">Czas trwania gry 8 godzin. </w:t>
      </w:r>
    </w:p>
    <w:p w:rsidR="00753BB4" w:rsidRPr="00753BB4" w:rsidRDefault="00753BB4" w:rsidP="00753BB4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53BB4">
        <w:rPr>
          <w:rFonts w:ascii="Garamond" w:hAnsi="Garamond"/>
          <w:sz w:val="24"/>
          <w:szCs w:val="24"/>
        </w:rPr>
        <w:t xml:space="preserve">Narzędzie dostępne na nieograniczoną liczbę studentów. </w:t>
      </w:r>
    </w:p>
    <w:p w:rsidR="00753BB4" w:rsidRPr="00753BB4" w:rsidRDefault="00753BB4" w:rsidP="00753BB4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sz w:val="24"/>
          <w:szCs w:val="24"/>
          <w:lang w:eastAsia="pl-PL"/>
        </w:rPr>
        <w:t>Typ licencji: nieograniczona czasowo.</w:t>
      </w:r>
    </w:p>
    <w:p w:rsidR="00753BB4" w:rsidRPr="00753BB4" w:rsidRDefault="00753BB4" w:rsidP="00753BB4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eastAsia="Times New Roman" w:hAnsi="Garamond"/>
          <w:color w:val="000000"/>
          <w:kern w:val="1"/>
          <w:sz w:val="24"/>
          <w:szCs w:val="24"/>
        </w:rPr>
      </w:pPr>
      <w:r w:rsidRPr="00753BB4">
        <w:rPr>
          <w:rFonts w:ascii="Garamond" w:eastAsia="Times New Roman" w:hAnsi="Garamond"/>
          <w:color w:val="000000"/>
          <w:kern w:val="1"/>
          <w:sz w:val="24"/>
          <w:szCs w:val="24"/>
        </w:rPr>
        <w:t xml:space="preserve">Narzędzie w 100% dostępne on-line, 24h/dobę; </w:t>
      </w:r>
    </w:p>
    <w:p w:rsidR="00753BB4" w:rsidRPr="00753BB4" w:rsidRDefault="00753BB4" w:rsidP="00753BB4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sz w:val="24"/>
          <w:szCs w:val="24"/>
          <w:lang w:eastAsia="pl-PL"/>
        </w:rPr>
        <w:t>Wyodrębniony panel administracyjny/konto dostępny/e dla pracowników Biura Karier oraz możliwość samodzielnego zarządzania nim;</w:t>
      </w:r>
    </w:p>
    <w:p w:rsidR="00753BB4" w:rsidRPr="00753BB4" w:rsidRDefault="00753BB4" w:rsidP="00753BB4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sz w:val="24"/>
          <w:szCs w:val="24"/>
          <w:lang w:eastAsia="pl-PL"/>
        </w:rPr>
        <w:t>Gra w formie aplikacji web, osadzonej na dedykowanej stronie www, rozgrywana z komputerów uczestników.</w:t>
      </w:r>
    </w:p>
    <w:p w:rsidR="00753BB4" w:rsidRPr="00753BB4" w:rsidRDefault="00753BB4" w:rsidP="00753BB4">
      <w:pPr>
        <w:numPr>
          <w:ilvl w:val="0"/>
          <w:numId w:val="12"/>
        </w:numPr>
        <w:spacing w:after="0" w:line="360" w:lineRule="auto"/>
        <w:ind w:left="0"/>
        <w:contextualSpacing/>
        <w:rPr>
          <w:rFonts w:ascii="Garamond" w:eastAsia="Times New Roman" w:hAnsi="Garamond"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sz w:val="24"/>
          <w:szCs w:val="24"/>
          <w:lang w:eastAsia="pl-PL"/>
        </w:rPr>
        <w:t xml:space="preserve">Dedykowany panel trenera do zarządzania sesjami: </w:t>
      </w:r>
    </w:p>
    <w:p w:rsidR="00753BB4" w:rsidRPr="00753BB4" w:rsidRDefault="00753BB4" w:rsidP="00753BB4">
      <w:pPr>
        <w:spacing w:after="0" w:line="360" w:lineRule="auto"/>
        <w:rPr>
          <w:rFonts w:ascii="Garamond" w:eastAsiaTheme="minorHAnsi" w:hAnsi="Garamond"/>
          <w:sz w:val="24"/>
          <w:szCs w:val="24"/>
          <w:lang w:eastAsia="pl-PL"/>
        </w:rPr>
      </w:pPr>
      <w:r w:rsidRPr="00753BB4">
        <w:rPr>
          <w:rFonts w:ascii="Garamond" w:eastAsiaTheme="minorHAnsi" w:hAnsi="Garamond"/>
          <w:sz w:val="24"/>
          <w:szCs w:val="24"/>
          <w:lang w:eastAsia="pl-PL"/>
        </w:rPr>
        <w:t>·       Logowanie się trenerów na dedykowane konta</w:t>
      </w:r>
    </w:p>
    <w:p w:rsidR="00753BB4" w:rsidRPr="00753BB4" w:rsidRDefault="00753BB4" w:rsidP="00753BB4">
      <w:pPr>
        <w:spacing w:after="0" w:line="360" w:lineRule="auto"/>
        <w:rPr>
          <w:rFonts w:ascii="Garamond" w:eastAsiaTheme="minorHAnsi" w:hAnsi="Garamond"/>
          <w:sz w:val="24"/>
          <w:szCs w:val="24"/>
          <w:lang w:eastAsia="pl-PL"/>
        </w:rPr>
      </w:pPr>
      <w:r w:rsidRPr="00753BB4">
        <w:rPr>
          <w:rFonts w:ascii="Garamond" w:eastAsiaTheme="minorHAnsi" w:hAnsi="Garamond"/>
          <w:sz w:val="24"/>
          <w:szCs w:val="24"/>
          <w:lang w:eastAsia="pl-PL"/>
        </w:rPr>
        <w:t xml:space="preserve">·       Unikalne </w:t>
      </w:r>
      <w:proofErr w:type="spellStart"/>
      <w:r w:rsidRPr="00753BB4">
        <w:rPr>
          <w:rFonts w:ascii="Garamond" w:eastAsiaTheme="minorHAnsi" w:hAnsi="Garamond"/>
          <w:sz w:val="24"/>
          <w:szCs w:val="24"/>
          <w:lang w:eastAsia="pl-PL"/>
        </w:rPr>
        <w:t>tokeny</w:t>
      </w:r>
      <w:proofErr w:type="spellEnd"/>
      <w:r w:rsidRPr="00753BB4">
        <w:rPr>
          <w:rFonts w:ascii="Garamond" w:eastAsiaTheme="minorHAnsi" w:hAnsi="Garamond"/>
          <w:sz w:val="24"/>
          <w:szCs w:val="24"/>
          <w:lang w:eastAsia="pl-PL"/>
        </w:rPr>
        <w:t>, generowane dla każdej uruchomionej sesji</w:t>
      </w:r>
    </w:p>
    <w:p w:rsidR="00753BB4" w:rsidRPr="00753BB4" w:rsidRDefault="00753BB4" w:rsidP="00753BB4">
      <w:pPr>
        <w:spacing w:after="0" w:line="360" w:lineRule="auto"/>
        <w:rPr>
          <w:rFonts w:ascii="Garamond" w:eastAsiaTheme="minorHAnsi" w:hAnsi="Garamond"/>
          <w:sz w:val="24"/>
          <w:szCs w:val="24"/>
          <w:lang w:eastAsia="pl-PL"/>
        </w:rPr>
      </w:pPr>
      <w:r w:rsidRPr="00753BB4">
        <w:rPr>
          <w:rFonts w:ascii="Garamond" w:eastAsiaTheme="minorHAnsi" w:hAnsi="Garamond"/>
          <w:sz w:val="24"/>
          <w:szCs w:val="24"/>
          <w:lang w:eastAsia="pl-PL"/>
        </w:rPr>
        <w:t>·       Uruchamianie sesji z panelu trenera, dokonywanie zmian w trakcie trwającej sesji.</w:t>
      </w:r>
    </w:p>
    <w:p w:rsidR="00753BB4" w:rsidRPr="00753BB4" w:rsidRDefault="00753BB4" w:rsidP="00753BB4">
      <w:pPr>
        <w:spacing w:after="0" w:line="360" w:lineRule="auto"/>
        <w:rPr>
          <w:rFonts w:ascii="Garamond" w:eastAsiaTheme="minorHAnsi" w:hAnsi="Garamond"/>
          <w:sz w:val="24"/>
          <w:szCs w:val="24"/>
          <w:lang w:eastAsia="pl-PL"/>
        </w:rPr>
      </w:pPr>
      <w:r w:rsidRPr="00753BB4">
        <w:rPr>
          <w:rFonts w:ascii="Garamond" w:eastAsiaTheme="minorHAnsi" w:hAnsi="Garamond"/>
          <w:sz w:val="24"/>
          <w:szCs w:val="24"/>
          <w:lang w:eastAsia="pl-PL"/>
        </w:rPr>
        <w:lastRenderedPageBreak/>
        <w:t xml:space="preserve">·       Zarządzanie uczestnikami: kontrola dostępu dla osób posiadających </w:t>
      </w:r>
      <w:proofErr w:type="spellStart"/>
      <w:r w:rsidRPr="00753BB4">
        <w:rPr>
          <w:rFonts w:ascii="Garamond" w:eastAsiaTheme="minorHAnsi" w:hAnsi="Garamond"/>
          <w:sz w:val="24"/>
          <w:szCs w:val="24"/>
          <w:lang w:eastAsia="pl-PL"/>
        </w:rPr>
        <w:t>token</w:t>
      </w:r>
      <w:proofErr w:type="spellEnd"/>
      <w:r w:rsidRPr="00753BB4">
        <w:rPr>
          <w:rFonts w:ascii="Garamond" w:eastAsiaTheme="minorHAnsi" w:hAnsi="Garamond"/>
          <w:sz w:val="24"/>
          <w:szCs w:val="24"/>
          <w:lang w:eastAsia="pl-PL"/>
        </w:rPr>
        <w:t>, przydział do zespołów, przydział roli menedżera</w:t>
      </w:r>
    </w:p>
    <w:p w:rsidR="00753BB4" w:rsidRDefault="00753BB4" w:rsidP="00753BB4">
      <w:pPr>
        <w:spacing w:after="0" w:line="360" w:lineRule="auto"/>
        <w:rPr>
          <w:rFonts w:ascii="Garamond" w:eastAsiaTheme="minorHAnsi" w:hAnsi="Garamond"/>
          <w:sz w:val="24"/>
          <w:szCs w:val="24"/>
          <w:lang w:eastAsia="pl-PL"/>
        </w:rPr>
      </w:pPr>
      <w:r w:rsidRPr="00753BB4">
        <w:rPr>
          <w:rFonts w:ascii="Garamond" w:eastAsiaTheme="minorHAnsi" w:hAnsi="Garamond"/>
          <w:sz w:val="24"/>
          <w:szCs w:val="24"/>
          <w:lang w:eastAsia="pl-PL"/>
        </w:rPr>
        <w:t xml:space="preserve">·       Zarządzanie czasem rozgrywki, interwencje trenera w aplikacji w przypadku nieprawidłowych decyzji podejmowanych przez uczestników (możliwość przydzielania im dodatkowych zasobów czasowych i finansowych). Z poziomu panelu trenera można ręcznie dodać określony czas w trakcie trwania rundy – podobnie inne zasoby. </w:t>
      </w:r>
    </w:p>
    <w:p w:rsidR="00753BB4" w:rsidRPr="00753BB4" w:rsidRDefault="00753BB4" w:rsidP="00753BB4">
      <w:pPr>
        <w:spacing w:after="0" w:line="360" w:lineRule="auto"/>
        <w:rPr>
          <w:rFonts w:ascii="Garamond" w:eastAsiaTheme="minorHAnsi" w:hAnsi="Garamond"/>
          <w:sz w:val="24"/>
          <w:szCs w:val="24"/>
          <w:lang w:eastAsia="pl-PL"/>
        </w:rPr>
      </w:pPr>
    </w:p>
    <w:p w:rsidR="00753BB4" w:rsidRDefault="00753BB4" w:rsidP="00753BB4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b/>
          <w:bCs/>
          <w:color w:val="000000"/>
          <w:kern w:val="1"/>
          <w:sz w:val="24"/>
          <w:szCs w:val="24"/>
        </w:rPr>
      </w:pPr>
      <w:r w:rsidRPr="00753BB4">
        <w:rPr>
          <w:rFonts w:ascii="Garamond" w:eastAsia="Arial" w:hAnsi="Garamond"/>
          <w:b/>
          <w:bCs/>
          <w:color w:val="000000"/>
          <w:kern w:val="1"/>
          <w:sz w:val="24"/>
          <w:szCs w:val="24"/>
        </w:rPr>
        <w:t>W</w:t>
      </w:r>
      <w:r w:rsidRPr="00753BB4">
        <w:rPr>
          <w:rFonts w:ascii="Garamond" w:eastAsia="Times New Roman" w:hAnsi="Garamond"/>
          <w:b/>
          <w:bCs/>
          <w:color w:val="000000"/>
          <w:kern w:val="1"/>
          <w:sz w:val="24"/>
          <w:szCs w:val="24"/>
        </w:rPr>
        <w:t>ymagania wobec gier szkoleniowych stacjonarne:</w:t>
      </w:r>
    </w:p>
    <w:p w:rsidR="00753BB4" w:rsidRPr="00753BB4" w:rsidRDefault="00753BB4" w:rsidP="00753BB4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b/>
          <w:bCs/>
          <w:color w:val="000000"/>
          <w:kern w:val="1"/>
          <w:sz w:val="24"/>
          <w:szCs w:val="24"/>
        </w:rPr>
      </w:pPr>
    </w:p>
    <w:p w:rsidR="00753BB4" w:rsidRPr="00753BB4" w:rsidRDefault="00753BB4" w:rsidP="00753BB4">
      <w:pPr>
        <w:spacing w:after="0" w:line="360" w:lineRule="auto"/>
        <w:outlineLvl w:val="2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sz w:val="24"/>
          <w:szCs w:val="24"/>
          <w:lang w:eastAsia="pl-PL"/>
        </w:rPr>
        <w:t xml:space="preserve">1. Gra strategiczna. Liczba graczy od 8-13. </w:t>
      </w:r>
      <w:r w:rsidRPr="00753BB4">
        <w:rPr>
          <w:rFonts w:ascii="Garamond" w:eastAsia="Times New Roman" w:hAnsi="Garamond"/>
          <w:bCs/>
          <w:sz w:val="24"/>
          <w:szCs w:val="24"/>
          <w:lang w:eastAsia="pl-PL"/>
        </w:rPr>
        <w:t>Gra umożliwia rozwój następujących umiejętności:</w:t>
      </w:r>
    </w:p>
    <w:p w:rsidR="00753BB4" w:rsidRPr="00753BB4" w:rsidRDefault="00753BB4" w:rsidP="00753BB4">
      <w:pPr>
        <w:spacing w:after="0" w:line="360" w:lineRule="auto"/>
        <w:outlineLvl w:val="2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sz w:val="24"/>
          <w:szCs w:val="24"/>
          <w:lang w:eastAsia="pl-PL"/>
        </w:rPr>
        <w:t>-</w:t>
      </w:r>
      <w:r w:rsidRPr="00753BB4">
        <w:rPr>
          <w:rFonts w:ascii="Garamond" w:eastAsia="Times New Roman" w:hAnsi="Garamond"/>
          <w:bCs/>
          <w:sz w:val="24"/>
          <w:szCs w:val="24"/>
          <w:lang w:eastAsia="pl-PL"/>
        </w:rPr>
        <w:t xml:space="preserve"> Przywództwo i zarządzanie, dostosowywanie decyzji do poziomu gotowości pracownika (chcę / umiem) oraz używanie odpowiednich narzędzi (wspieranie / instruowanie) w celu rozwoju pracowników;</w:t>
      </w:r>
    </w:p>
    <w:p w:rsidR="00753BB4" w:rsidRPr="00753BB4" w:rsidRDefault="00753BB4" w:rsidP="00753BB4">
      <w:pPr>
        <w:spacing w:after="0" w:line="360" w:lineRule="auto"/>
        <w:outlineLvl w:val="2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bCs/>
          <w:sz w:val="24"/>
          <w:szCs w:val="24"/>
          <w:lang w:eastAsia="pl-PL"/>
        </w:rPr>
        <w:t>- Zarządzanie strategiczne, inwestowanie w rozwój firmy (pracowników) w celu osiągnięcia długotrwałych efektów;</w:t>
      </w:r>
    </w:p>
    <w:p w:rsidR="00753BB4" w:rsidRPr="00753BB4" w:rsidRDefault="00753BB4" w:rsidP="00753BB4">
      <w:pPr>
        <w:spacing w:after="0" w:line="360" w:lineRule="auto"/>
        <w:outlineLvl w:val="2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bCs/>
          <w:sz w:val="24"/>
          <w:szCs w:val="24"/>
          <w:lang w:eastAsia="pl-PL"/>
        </w:rPr>
        <w:t>- Zarządzanie zmianą, adekwatne reagowanie na pojawiające się zadania oraz zdarzenia losowe, wprowadzanie koniecznych korekt w planie działania;</w:t>
      </w:r>
    </w:p>
    <w:p w:rsidR="00753BB4" w:rsidRPr="00753BB4" w:rsidRDefault="00753BB4" w:rsidP="00753BB4">
      <w:pPr>
        <w:spacing w:after="0" w:line="360" w:lineRule="auto"/>
        <w:outlineLvl w:val="2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bCs/>
          <w:sz w:val="24"/>
          <w:szCs w:val="24"/>
          <w:lang w:eastAsia="pl-PL"/>
        </w:rPr>
        <w:t>- Radzenie sobie z niejednoznacznością, podejmowanie decyzji mimo braku wszystkich potrzebnych informacji oraz dylematu osiągnięcia szybkiego zysku lub długotrwałej inwestycji w</w:t>
      </w:r>
      <w:r>
        <w:rPr>
          <w:rFonts w:ascii="Garamond" w:eastAsia="Times New Roman" w:hAnsi="Garamond"/>
          <w:bCs/>
          <w:sz w:val="24"/>
          <w:szCs w:val="24"/>
          <w:lang w:eastAsia="pl-PL"/>
        </w:rPr>
        <w:t> </w:t>
      </w:r>
      <w:r w:rsidRPr="00753BB4">
        <w:rPr>
          <w:rFonts w:ascii="Garamond" w:eastAsia="Times New Roman" w:hAnsi="Garamond"/>
          <w:bCs/>
          <w:sz w:val="24"/>
          <w:szCs w:val="24"/>
          <w:lang w:eastAsia="pl-PL"/>
        </w:rPr>
        <w:t>rozwój kompetencji i motywacji pracowników.</w:t>
      </w:r>
    </w:p>
    <w:p w:rsidR="00753BB4" w:rsidRPr="00753BB4" w:rsidRDefault="00753BB4" w:rsidP="00753BB4">
      <w:pPr>
        <w:spacing w:after="0" w:line="360" w:lineRule="auto"/>
        <w:outlineLvl w:val="2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753BB4">
        <w:rPr>
          <w:rFonts w:ascii="Garamond" w:eastAsia="Times New Roman" w:hAnsi="Garamond"/>
          <w:bCs/>
          <w:sz w:val="24"/>
          <w:szCs w:val="24"/>
          <w:lang w:eastAsia="pl-PL"/>
        </w:rPr>
        <w:t>2. Gra stacjonarna rozwijająca współpraca i komunikacja w zespole, optymalizacja współpracy pomiędzy zespołami zadaniowymi, organizacja pracy w czasie realizacji projektu. Liczba graczy od 8-13. Gra umożliwia rozwój następujących umiejętności: praca w zespole, skuteczna komunikacja, wyznaczanie celów, negocjacje. Narzędzia niezbędne do gry, do wielokrotnego użytku.</w:t>
      </w:r>
    </w:p>
    <w:p w:rsidR="00753BB4" w:rsidRPr="00753BB4" w:rsidRDefault="00753BB4" w:rsidP="00753BB4">
      <w:pPr>
        <w:spacing w:after="0" w:line="360" w:lineRule="auto"/>
        <w:rPr>
          <w:rFonts w:ascii="Garamond" w:eastAsiaTheme="minorHAnsi" w:hAnsi="Garamond" w:cs="Consolas"/>
          <w:sz w:val="24"/>
          <w:szCs w:val="24"/>
        </w:rPr>
      </w:pPr>
      <w:r w:rsidRPr="00753BB4">
        <w:rPr>
          <w:rFonts w:ascii="Garamond" w:eastAsiaTheme="minorHAnsi" w:hAnsi="Garamond" w:cs="Consolas"/>
          <w:sz w:val="24"/>
          <w:szCs w:val="24"/>
        </w:rPr>
        <w:t>3. Gra stacjonarna rozwijająca umiejętności negocjacje, diagnoza potrzeb stron, rozwijanie umiejętności dotyczących analizy koła konfliktu (schodzenie na poziom danych i interesów), komunikacja, współpraca, podejmowanie decyzji. Liczba graczy 6-30. Narzędzia niezbędne do</w:t>
      </w:r>
      <w:r w:rsidR="00F161F3">
        <w:rPr>
          <w:rFonts w:ascii="Garamond" w:eastAsiaTheme="minorHAnsi" w:hAnsi="Garamond" w:cs="Consolas"/>
          <w:sz w:val="24"/>
          <w:szCs w:val="24"/>
        </w:rPr>
        <w:t> </w:t>
      </w:r>
      <w:r w:rsidRPr="00753BB4">
        <w:rPr>
          <w:rFonts w:ascii="Garamond" w:eastAsiaTheme="minorHAnsi" w:hAnsi="Garamond" w:cs="Consolas"/>
          <w:sz w:val="24"/>
          <w:szCs w:val="24"/>
        </w:rPr>
        <w:t>gry, do wielokrotnego użytku.</w:t>
      </w:r>
    </w:p>
    <w:p w:rsidR="00753BB4" w:rsidRPr="00753BB4" w:rsidRDefault="00753BB4" w:rsidP="00753BB4">
      <w:pPr>
        <w:spacing w:after="0" w:line="360" w:lineRule="auto"/>
        <w:rPr>
          <w:rFonts w:ascii="Garamond" w:eastAsiaTheme="minorHAnsi" w:hAnsi="Garamond" w:cs="Consolas"/>
          <w:sz w:val="24"/>
          <w:szCs w:val="24"/>
        </w:rPr>
      </w:pPr>
      <w:r w:rsidRPr="00753BB4">
        <w:rPr>
          <w:rFonts w:ascii="Garamond" w:eastAsiaTheme="minorHAnsi" w:hAnsi="Garamond" w:cs="Consolas"/>
          <w:sz w:val="24"/>
          <w:szCs w:val="24"/>
        </w:rPr>
        <w:t>4. Gra stacjonarna rozwijająca umiejętności kreatywne rozwiązywanie problemów, orientacja na</w:t>
      </w:r>
      <w:r w:rsidR="00F161F3">
        <w:rPr>
          <w:rFonts w:ascii="Garamond" w:eastAsiaTheme="minorHAnsi" w:hAnsi="Garamond" w:cs="Consolas"/>
          <w:sz w:val="24"/>
          <w:szCs w:val="24"/>
        </w:rPr>
        <w:t> </w:t>
      </w:r>
      <w:r w:rsidRPr="00753BB4">
        <w:rPr>
          <w:rFonts w:ascii="Garamond" w:eastAsiaTheme="minorHAnsi" w:hAnsi="Garamond" w:cs="Consolas"/>
          <w:sz w:val="24"/>
          <w:szCs w:val="24"/>
        </w:rPr>
        <w:t xml:space="preserve">rezultaty, współpracę. Liczba graczy 16. Narzędzia niezbędne do gry, do wielokrotnego użytku. </w:t>
      </w:r>
    </w:p>
    <w:p w:rsidR="00753BB4" w:rsidRPr="00753BB4" w:rsidRDefault="00753BB4" w:rsidP="00753BB4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b/>
          <w:bCs/>
          <w:color w:val="000000"/>
          <w:kern w:val="1"/>
          <w:sz w:val="24"/>
          <w:szCs w:val="24"/>
        </w:rPr>
      </w:pPr>
    </w:p>
    <w:p w:rsidR="00753BB4" w:rsidRDefault="00753BB4" w:rsidP="00753BB4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aramond" w:hAnsi="Garamond"/>
        </w:rPr>
      </w:pPr>
    </w:p>
    <w:p w:rsidR="00753BB4" w:rsidRDefault="00753BB4" w:rsidP="00463411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b/>
        </w:rPr>
      </w:pPr>
    </w:p>
    <w:p w:rsidR="00753BB4" w:rsidRPr="002679F6" w:rsidRDefault="00463411" w:rsidP="00463411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b/>
        </w:rPr>
      </w:pPr>
      <w:r w:rsidRPr="002679F6">
        <w:rPr>
          <w:rFonts w:ascii="Garamond" w:hAnsi="Garamond"/>
          <w:b/>
        </w:rPr>
        <w:t>TERMIN REALIZACJI USŁUGI</w:t>
      </w:r>
    </w:p>
    <w:p w:rsidR="00463411" w:rsidRDefault="00753BB4" w:rsidP="00406C89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wrzesień 2021r. </w:t>
      </w:r>
    </w:p>
    <w:p w:rsidR="00753BB4" w:rsidRPr="002679F6" w:rsidRDefault="00753BB4" w:rsidP="00406C89">
      <w:pPr>
        <w:pStyle w:val="NormalnyWeb"/>
        <w:spacing w:before="0" w:beforeAutospacing="0" w:after="0" w:afterAutospacing="0"/>
        <w:rPr>
          <w:rFonts w:ascii="Garamond" w:hAnsi="Garamond"/>
        </w:rPr>
      </w:pPr>
    </w:p>
    <w:p w:rsidR="00463411" w:rsidRPr="002679F6" w:rsidRDefault="00463411" w:rsidP="00463411">
      <w:pPr>
        <w:pStyle w:val="Default"/>
        <w:spacing w:line="360" w:lineRule="auto"/>
        <w:rPr>
          <w:rFonts w:ascii="Garamond" w:eastAsia="Arial" w:hAnsi="Garamond"/>
          <w:b/>
          <w:bCs/>
        </w:rPr>
      </w:pPr>
      <w:r w:rsidRPr="002679F6">
        <w:rPr>
          <w:rFonts w:ascii="Garamond" w:eastAsia="Arial" w:hAnsi="Garamond"/>
          <w:b/>
          <w:bCs/>
        </w:rPr>
        <w:t>TERMIN I MIE</w:t>
      </w:r>
      <w:r w:rsidR="00836210" w:rsidRPr="002679F6">
        <w:rPr>
          <w:rFonts w:ascii="Garamond" w:eastAsia="Arial" w:hAnsi="Garamond"/>
          <w:b/>
          <w:bCs/>
        </w:rPr>
        <w:t>JSCE ZŁOŻENIA OFERT</w:t>
      </w:r>
    </w:p>
    <w:p w:rsidR="00463411" w:rsidRPr="002679F6" w:rsidRDefault="00463411" w:rsidP="00463411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2679F6">
        <w:rPr>
          <w:rFonts w:ascii="Garamond" w:eastAsia="Times New Roman" w:hAnsi="Garamond"/>
          <w:sz w:val="24"/>
          <w:szCs w:val="24"/>
          <w:lang w:eastAsia="pl-PL"/>
        </w:rPr>
        <w:t xml:space="preserve">Ofertę należy złożyć do dnia </w:t>
      </w:r>
      <w:r w:rsidR="001747F5" w:rsidRPr="001747F5">
        <w:rPr>
          <w:rFonts w:ascii="Garamond" w:eastAsia="Times New Roman" w:hAnsi="Garamond"/>
          <w:bCs/>
          <w:sz w:val="24"/>
          <w:szCs w:val="24"/>
          <w:lang w:eastAsia="pl-PL"/>
        </w:rPr>
        <w:t>02.09</w:t>
      </w:r>
      <w:r w:rsidR="00BA77FC" w:rsidRPr="001747F5">
        <w:rPr>
          <w:rFonts w:ascii="Garamond" w:eastAsia="Times New Roman" w:hAnsi="Garamond"/>
          <w:bCs/>
          <w:sz w:val="24"/>
          <w:szCs w:val="24"/>
          <w:lang w:eastAsia="pl-PL"/>
        </w:rPr>
        <w:t>. 2021</w:t>
      </w:r>
      <w:r w:rsidRPr="001747F5">
        <w:rPr>
          <w:rFonts w:ascii="Garamond" w:eastAsia="Times New Roman" w:hAnsi="Garamond"/>
          <w:bCs/>
          <w:sz w:val="24"/>
          <w:szCs w:val="24"/>
          <w:lang w:eastAsia="pl-PL"/>
        </w:rPr>
        <w:t xml:space="preserve"> r.</w:t>
      </w:r>
      <w:r w:rsidRPr="001747F5">
        <w:rPr>
          <w:rFonts w:ascii="Garamond" w:eastAsia="Times New Roman" w:hAnsi="Garamond"/>
          <w:sz w:val="24"/>
          <w:szCs w:val="24"/>
          <w:lang w:eastAsia="pl-PL"/>
        </w:rPr>
        <w:t xml:space="preserve"> (</w:t>
      </w:r>
      <w:r w:rsidR="001747F5" w:rsidRPr="001747F5">
        <w:rPr>
          <w:rFonts w:ascii="Garamond" w:eastAsia="Times New Roman" w:hAnsi="Garamond"/>
          <w:sz w:val="24"/>
          <w:szCs w:val="24"/>
          <w:lang w:eastAsia="pl-PL"/>
        </w:rPr>
        <w:t xml:space="preserve">czwartek </w:t>
      </w:r>
      <w:r w:rsidRPr="001747F5">
        <w:rPr>
          <w:rFonts w:ascii="Garamond" w:eastAsia="Times New Roman" w:hAnsi="Garamond"/>
          <w:sz w:val="24"/>
          <w:szCs w:val="24"/>
          <w:lang w:eastAsia="pl-PL"/>
        </w:rPr>
        <w:t>),</w:t>
      </w:r>
      <w:r w:rsidRPr="002679F6">
        <w:rPr>
          <w:rFonts w:ascii="Garamond" w:eastAsia="Times New Roman" w:hAnsi="Garamond"/>
          <w:sz w:val="24"/>
          <w:szCs w:val="24"/>
          <w:lang w:eastAsia="pl-PL"/>
        </w:rPr>
        <w:t xml:space="preserve"> uzupełniając dołączone załączniki.</w:t>
      </w:r>
    </w:p>
    <w:p w:rsidR="00424931" w:rsidRPr="002679F6" w:rsidRDefault="00424931" w:rsidP="00463411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CF1990" w:rsidRPr="002679F6" w:rsidRDefault="00463411" w:rsidP="00463411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2679F6">
        <w:rPr>
          <w:rFonts w:ascii="Garamond" w:eastAsia="Times New Roman" w:hAnsi="Garamond"/>
          <w:sz w:val="24"/>
          <w:szCs w:val="24"/>
          <w:lang w:eastAsia="pl-PL"/>
        </w:rPr>
        <w:t>Oferta może zostać dostarczona</w:t>
      </w:r>
      <w:r w:rsidR="00BA77FC" w:rsidRPr="002679F6">
        <w:rPr>
          <w:rFonts w:ascii="Garamond" w:eastAsia="Times New Roman" w:hAnsi="Garamond"/>
          <w:sz w:val="24"/>
          <w:szCs w:val="24"/>
          <w:lang w:eastAsia="pl-PL"/>
        </w:rPr>
        <w:t xml:space="preserve"> drogą elektroniczną</w:t>
      </w:r>
      <w:r w:rsidR="00753BB4">
        <w:rPr>
          <w:rFonts w:ascii="Garamond" w:eastAsia="Times New Roman" w:hAnsi="Garamond"/>
          <w:sz w:val="24"/>
          <w:szCs w:val="24"/>
          <w:lang w:eastAsia="pl-PL"/>
        </w:rPr>
        <w:t xml:space="preserve"> lub pocztową</w:t>
      </w:r>
      <w:r w:rsidR="00BA77FC" w:rsidRPr="002679F6">
        <w:rPr>
          <w:rFonts w:ascii="Garamond" w:eastAsia="Times New Roman" w:hAnsi="Garamond"/>
          <w:sz w:val="24"/>
          <w:szCs w:val="24"/>
          <w:lang w:eastAsia="pl-PL"/>
        </w:rPr>
        <w:t xml:space="preserve"> (</w:t>
      </w:r>
      <w:r w:rsidR="00AB65D0">
        <w:rPr>
          <w:rFonts w:ascii="Garamond" w:eastAsia="Times New Roman" w:hAnsi="Garamond"/>
          <w:sz w:val="24"/>
          <w:szCs w:val="24"/>
          <w:lang w:eastAsia="pl-PL"/>
        </w:rPr>
        <w:t>osobiste dostarczenie dokumentacji jest niemożliwe ze względu na sytuację epidemiologiczną</w:t>
      </w:r>
      <w:r w:rsidR="00BA77FC" w:rsidRPr="002679F6">
        <w:rPr>
          <w:rFonts w:ascii="Garamond" w:eastAsia="Times New Roman" w:hAnsi="Garamond"/>
          <w:sz w:val="24"/>
          <w:szCs w:val="24"/>
          <w:lang w:eastAsia="pl-PL"/>
        </w:rPr>
        <w:t>)</w:t>
      </w:r>
      <w:r w:rsidRPr="002679F6">
        <w:rPr>
          <w:rFonts w:ascii="Garamond" w:eastAsia="Times New Roman" w:hAnsi="Garamond"/>
          <w:sz w:val="24"/>
          <w:szCs w:val="24"/>
          <w:lang w:eastAsia="pl-PL"/>
        </w:rPr>
        <w:t>:</w:t>
      </w:r>
    </w:p>
    <w:p w:rsidR="00463411" w:rsidRPr="002679F6" w:rsidRDefault="00463411" w:rsidP="00463411">
      <w:pPr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2679F6">
        <w:rPr>
          <w:rFonts w:ascii="Garamond" w:eastAsia="Times New Roman" w:hAnsi="Garamond"/>
          <w:sz w:val="24"/>
          <w:szCs w:val="24"/>
          <w:lang w:eastAsia="pl-PL"/>
        </w:rPr>
        <w:t xml:space="preserve">elektronicznie na adres: </w:t>
      </w:r>
      <w:r w:rsidR="00BA77FC" w:rsidRPr="002679F6">
        <w:rPr>
          <w:rFonts w:ascii="Garamond" w:hAnsi="Garamond"/>
          <w:sz w:val="24"/>
          <w:szCs w:val="24"/>
        </w:rPr>
        <w:t>joanna.goszczynska@urk.edu.pl</w:t>
      </w:r>
    </w:p>
    <w:p w:rsidR="00424931" w:rsidRPr="002679F6" w:rsidRDefault="00463411" w:rsidP="002679F6">
      <w:pPr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2679F6">
        <w:rPr>
          <w:rFonts w:ascii="Garamond" w:eastAsia="Times New Roman" w:hAnsi="Garamond"/>
          <w:sz w:val="24"/>
          <w:szCs w:val="24"/>
          <w:lang w:eastAsia="pl-PL"/>
        </w:rPr>
        <w:t>pocztą (</w:t>
      </w:r>
      <w:r w:rsidR="00BA77FC" w:rsidRPr="002679F6">
        <w:rPr>
          <w:rFonts w:ascii="Garamond" w:eastAsia="Times New Roman" w:hAnsi="Garamond"/>
          <w:bCs/>
          <w:sz w:val="24"/>
          <w:szCs w:val="24"/>
          <w:lang w:eastAsia="pl-PL"/>
        </w:rPr>
        <w:t>Centrum Administracyjnego Wsparcia Projektów, Uniwersytet Rolniczy</w:t>
      </w:r>
      <w:r w:rsidRPr="002679F6">
        <w:rPr>
          <w:rFonts w:ascii="Garamond" w:eastAsia="Times New Roman" w:hAnsi="Garamond"/>
          <w:bCs/>
          <w:sz w:val="24"/>
          <w:szCs w:val="24"/>
          <w:lang w:eastAsia="pl-PL"/>
        </w:rPr>
        <w:t xml:space="preserve"> im.</w:t>
      </w:r>
      <w:r w:rsidR="00E152F8">
        <w:rPr>
          <w:rFonts w:ascii="Garamond" w:eastAsia="Times New Roman" w:hAnsi="Garamond"/>
          <w:bCs/>
          <w:sz w:val="24"/>
          <w:szCs w:val="24"/>
          <w:lang w:eastAsia="pl-PL"/>
        </w:rPr>
        <w:t> </w:t>
      </w:r>
      <w:r w:rsidRPr="002679F6">
        <w:rPr>
          <w:rFonts w:ascii="Garamond" w:eastAsia="Times New Roman" w:hAnsi="Garamond"/>
          <w:bCs/>
          <w:sz w:val="24"/>
          <w:szCs w:val="24"/>
          <w:lang w:eastAsia="pl-PL"/>
        </w:rPr>
        <w:t xml:space="preserve">Hugona Kołłątaja w Krakowie al. Mickiewicza 21, </w:t>
      </w:r>
      <w:r w:rsidR="00392CF2">
        <w:rPr>
          <w:rFonts w:ascii="Garamond" w:eastAsia="Times New Roman" w:hAnsi="Garamond"/>
          <w:sz w:val="24"/>
          <w:szCs w:val="24"/>
          <w:lang w:eastAsia="pl-PL"/>
        </w:rPr>
        <w:t>31-120 Kraków, pokój 5</w:t>
      </w:r>
      <w:r w:rsidRPr="002679F6">
        <w:rPr>
          <w:rFonts w:ascii="Garamond" w:eastAsia="Times New Roman" w:hAnsi="Garamond"/>
          <w:bCs/>
          <w:sz w:val="24"/>
          <w:szCs w:val="24"/>
          <w:lang w:eastAsia="pl-PL"/>
        </w:rPr>
        <w:t>).</w:t>
      </w:r>
      <w:bookmarkStart w:id="0" w:name="_GoBack"/>
      <w:bookmarkEnd w:id="0"/>
    </w:p>
    <w:p w:rsidR="002679F6" w:rsidRPr="002679F6" w:rsidRDefault="002679F6" w:rsidP="00AB65D0">
      <w:pPr>
        <w:spacing w:after="0" w:line="360" w:lineRule="auto"/>
        <w:ind w:left="72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9A02FC" w:rsidRPr="002679F6" w:rsidRDefault="009A02FC" w:rsidP="009A02FC">
      <w:pPr>
        <w:pStyle w:val="Default"/>
        <w:spacing w:after="120" w:line="360" w:lineRule="auto"/>
        <w:jc w:val="both"/>
        <w:rPr>
          <w:rFonts w:ascii="Garamond" w:eastAsia="Arial" w:hAnsi="Garamond"/>
          <w:b/>
          <w:bCs/>
        </w:rPr>
      </w:pPr>
      <w:r w:rsidRPr="002679F6">
        <w:rPr>
          <w:rFonts w:ascii="Garamond" w:eastAsia="Arial" w:hAnsi="Garamond"/>
          <w:b/>
          <w:bCs/>
        </w:rPr>
        <w:t>WARUNKI UDZIAŁU W ZAPYTANIU OFERTOWYM</w:t>
      </w:r>
    </w:p>
    <w:p w:rsidR="002679F6" w:rsidRPr="00753BB4" w:rsidRDefault="009A02FC" w:rsidP="00753BB4">
      <w:pPr>
        <w:spacing w:after="0" w:line="360" w:lineRule="auto"/>
        <w:ind w:firstLine="709"/>
        <w:jc w:val="both"/>
        <w:rPr>
          <w:rFonts w:ascii="Garamond" w:eastAsia="Arial" w:hAnsi="Garamond"/>
          <w:bCs/>
          <w:sz w:val="24"/>
          <w:szCs w:val="24"/>
        </w:rPr>
      </w:pPr>
      <w:r w:rsidRPr="002679F6">
        <w:rPr>
          <w:rFonts w:ascii="Garamond" w:eastAsia="Arial" w:hAnsi="Garamond"/>
          <w:bCs/>
          <w:sz w:val="24"/>
          <w:szCs w:val="24"/>
        </w:rPr>
        <w:t>Wykonawcą zamówienia może być osoba fizyczna, osoba prawna, jednostka organizacyjna nie posiadająca osobowości prawnej lub wykonawcy występujący wspólnie spełniający wymagania, tj. posiadający niezbędna wiedzę i doświadczenie oraz dysponujący potencjałem technicznym, finansowym i osobami zdolnymi do wykonania zamówienia.</w:t>
      </w:r>
    </w:p>
    <w:p w:rsidR="009A02FC" w:rsidRPr="002679F6" w:rsidRDefault="009A02FC" w:rsidP="00463411">
      <w:pPr>
        <w:pStyle w:val="Default"/>
        <w:rPr>
          <w:rFonts w:ascii="Garamond" w:eastAsia="Arial" w:hAnsi="Garamond"/>
          <w:b/>
          <w:bCs/>
        </w:rPr>
      </w:pPr>
    </w:p>
    <w:p w:rsidR="00463411" w:rsidRPr="002679F6" w:rsidRDefault="00463411" w:rsidP="00463411">
      <w:pPr>
        <w:pStyle w:val="Default"/>
        <w:rPr>
          <w:rFonts w:ascii="Garamond" w:eastAsia="Arial" w:hAnsi="Garamond"/>
          <w:b/>
          <w:bCs/>
        </w:rPr>
      </w:pPr>
      <w:r w:rsidRPr="002679F6">
        <w:rPr>
          <w:rFonts w:ascii="Garamond" w:eastAsia="Arial" w:hAnsi="Garamond"/>
          <w:b/>
          <w:bCs/>
        </w:rPr>
        <w:t>DODATKOWE INFORMACJE</w:t>
      </w:r>
    </w:p>
    <w:p w:rsidR="00463411" w:rsidRPr="002679F6" w:rsidRDefault="00463411" w:rsidP="00463411">
      <w:pPr>
        <w:pStyle w:val="Default"/>
        <w:rPr>
          <w:rFonts w:ascii="Garamond" w:eastAsia="Arial" w:hAnsi="Garamond"/>
          <w:b/>
          <w:bCs/>
        </w:rPr>
      </w:pPr>
    </w:p>
    <w:p w:rsidR="00463411" w:rsidRPr="002679F6" w:rsidRDefault="00463411" w:rsidP="00463411">
      <w:pPr>
        <w:pStyle w:val="Default"/>
        <w:spacing w:line="360" w:lineRule="auto"/>
        <w:jc w:val="both"/>
        <w:rPr>
          <w:rFonts w:ascii="Garamond" w:eastAsia="Arial" w:hAnsi="Garamond"/>
          <w:bCs/>
        </w:rPr>
      </w:pPr>
      <w:r w:rsidRPr="002679F6">
        <w:rPr>
          <w:rFonts w:ascii="Garamond" w:eastAsia="Arial" w:hAnsi="Garamond"/>
          <w:bCs/>
        </w:rPr>
        <w:t>Przy wyborze ofert Zamawiający będzie się kierował następującymi kry</w:t>
      </w:r>
      <w:r w:rsidR="002679F6" w:rsidRPr="002679F6">
        <w:rPr>
          <w:rFonts w:ascii="Garamond" w:eastAsia="Arial" w:hAnsi="Garamond"/>
          <w:bCs/>
        </w:rPr>
        <w:t>teriami: Kryterium oceny ofert -A</w:t>
      </w:r>
      <w:r w:rsidRPr="002679F6">
        <w:rPr>
          <w:rFonts w:ascii="Garamond" w:eastAsia="Arial" w:hAnsi="Garamond"/>
          <w:bCs/>
        </w:rPr>
        <w:t xml:space="preserve"> całkowita cena brutto za wykonanie całości usługi - 100%.</w:t>
      </w:r>
    </w:p>
    <w:p w:rsidR="00463411" w:rsidRPr="002679F6" w:rsidRDefault="00463411" w:rsidP="00463411">
      <w:pPr>
        <w:pStyle w:val="Default"/>
        <w:rPr>
          <w:rFonts w:ascii="Garamond" w:eastAsia="Arial" w:hAnsi="Garamond"/>
          <w:b/>
          <w:bCs/>
        </w:rPr>
      </w:pPr>
    </w:p>
    <w:p w:rsidR="00463411" w:rsidRPr="002679F6" w:rsidRDefault="00463411" w:rsidP="00463411">
      <w:pPr>
        <w:pStyle w:val="Default"/>
        <w:rPr>
          <w:rFonts w:ascii="Garamond" w:eastAsia="Arial" w:hAnsi="Garamond"/>
          <w:b/>
          <w:bCs/>
        </w:rPr>
      </w:pPr>
    </w:p>
    <w:p w:rsidR="00BA77FC" w:rsidRPr="002679F6" w:rsidRDefault="00463411" w:rsidP="00463411">
      <w:pPr>
        <w:pStyle w:val="Default"/>
        <w:rPr>
          <w:rFonts w:ascii="Garamond" w:eastAsia="Arial" w:hAnsi="Garamond"/>
          <w:b/>
          <w:bCs/>
        </w:rPr>
      </w:pPr>
      <w:r w:rsidRPr="002679F6">
        <w:rPr>
          <w:rFonts w:ascii="Garamond" w:eastAsia="Arial" w:hAnsi="Garamond"/>
          <w:b/>
          <w:bCs/>
        </w:rPr>
        <w:t>NAZWA I ADRES ZAMAWIAJACEGO</w:t>
      </w:r>
    </w:p>
    <w:p w:rsidR="00463411" w:rsidRPr="002679F6" w:rsidRDefault="00463411" w:rsidP="00463411">
      <w:pPr>
        <w:pStyle w:val="Default"/>
        <w:rPr>
          <w:rFonts w:ascii="Garamond" w:eastAsia="Arial" w:hAnsi="Garamond"/>
          <w:b/>
          <w:bCs/>
        </w:rPr>
      </w:pPr>
    </w:p>
    <w:p w:rsidR="00463411" w:rsidRPr="002679F6" w:rsidRDefault="00463411" w:rsidP="00EE2820">
      <w:pPr>
        <w:pStyle w:val="Default"/>
        <w:spacing w:line="360" w:lineRule="auto"/>
        <w:rPr>
          <w:rFonts w:ascii="Garamond" w:eastAsia="Arial" w:hAnsi="Garamond"/>
        </w:rPr>
      </w:pPr>
      <w:r w:rsidRPr="002679F6">
        <w:rPr>
          <w:rFonts w:ascii="Garamond" w:eastAsia="Arial" w:hAnsi="Garamond"/>
        </w:rPr>
        <w:t>Uniwersytet Rolniczy im. Hugona Kołłątaja w Krakowie</w:t>
      </w:r>
    </w:p>
    <w:p w:rsidR="00BA77FC" w:rsidRPr="002679F6" w:rsidRDefault="00BA77FC" w:rsidP="00EE2820">
      <w:pPr>
        <w:pStyle w:val="Default"/>
        <w:spacing w:line="360" w:lineRule="auto"/>
        <w:rPr>
          <w:rFonts w:ascii="Garamond" w:eastAsia="Arial" w:hAnsi="Garamond"/>
        </w:rPr>
      </w:pPr>
      <w:r w:rsidRPr="002679F6">
        <w:rPr>
          <w:rFonts w:ascii="Garamond" w:eastAsia="Arial" w:hAnsi="Garamond"/>
        </w:rPr>
        <w:t>Centrum Administracyjnego Wsparcia Projektów</w:t>
      </w:r>
    </w:p>
    <w:p w:rsidR="002679F6" w:rsidRPr="002679F6" w:rsidRDefault="00463411" w:rsidP="002679F6">
      <w:pPr>
        <w:spacing w:line="360" w:lineRule="auto"/>
        <w:rPr>
          <w:rFonts w:ascii="Garamond" w:eastAsia="Arial" w:hAnsi="Garamond"/>
          <w:sz w:val="24"/>
          <w:szCs w:val="24"/>
        </w:rPr>
      </w:pPr>
      <w:r w:rsidRPr="002679F6">
        <w:rPr>
          <w:rFonts w:ascii="Garamond" w:eastAsia="Arial" w:hAnsi="Garamond"/>
          <w:sz w:val="24"/>
          <w:szCs w:val="24"/>
        </w:rPr>
        <w:t>Adres: Aleja Mickiewicza 21, 31-120 Kraków</w:t>
      </w:r>
    </w:p>
    <w:p w:rsidR="00424931" w:rsidRPr="002679F6" w:rsidRDefault="00424931" w:rsidP="00463411">
      <w:pPr>
        <w:rPr>
          <w:rFonts w:ascii="Garamond" w:eastAsia="Arial" w:hAnsi="Garamond"/>
          <w:b/>
          <w:sz w:val="24"/>
          <w:szCs w:val="24"/>
        </w:rPr>
      </w:pPr>
      <w:r w:rsidRPr="002679F6">
        <w:rPr>
          <w:rFonts w:ascii="Garamond" w:eastAsia="Arial" w:hAnsi="Garamond"/>
          <w:b/>
          <w:sz w:val="24"/>
          <w:szCs w:val="24"/>
        </w:rPr>
        <w:t>OSOBA DO KONTAKTU</w:t>
      </w:r>
    </w:p>
    <w:p w:rsidR="00EE2820" w:rsidRPr="002679F6" w:rsidRDefault="00463411" w:rsidP="00EE2820">
      <w:pPr>
        <w:spacing w:after="120" w:line="240" w:lineRule="auto"/>
        <w:rPr>
          <w:rFonts w:ascii="Garamond" w:hAnsi="Garamond"/>
          <w:sz w:val="24"/>
          <w:szCs w:val="24"/>
        </w:rPr>
      </w:pPr>
      <w:r w:rsidRPr="002679F6">
        <w:rPr>
          <w:rFonts w:ascii="Garamond" w:eastAsia="Arial" w:hAnsi="Garamond"/>
          <w:b/>
          <w:sz w:val="24"/>
          <w:szCs w:val="24"/>
        </w:rPr>
        <w:t xml:space="preserve"> </w:t>
      </w:r>
      <w:r w:rsidR="00406C89" w:rsidRPr="002679F6">
        <w:rPr>
          <w:rFonts w:ascii="Garamond" w:hAnsi="Garamond"/>
          <w:sz w:val="24"/>
          <w:szCs w:val="24"/>
        </w:rPr>
        <w:t>Joanna Goszczyńska</w:t>
      </w:r>
    </w:p>
    <w:p w:rsidR="00EE2820" w:rsidRPr="002679F6" w:rsidRDefault="00EE2820" w:rsidP="00EE2820">
      <w:pPr>
        <w:spacing w:after="120" w:line="240" w:lineRule="auto"/>
        <w:rPr>
          <w:rFonts w:ascii="Garamond" w:hAnsi="Garamond"/>
          <w:sz w:val="24"/>
          <w:szCs w:val="24"/>
        </w:rPr>
      </w:pPr>
      <w:r w:rsidRPr="002679F6">
        <w:rPr>
          <w:rFonts w:ascii="Garamond" w:hAnsi="Garamond"/>
          <w:sz w:val="24"/>
          <w:szCs w:val="24"/>
        </w:rPr>
        <w:t xml:space="preserve"> </w:t>
      </w:r>
      <w:r w:rsidR="002679F6" w:rsidRPr="002679F6">
        <w:rPr>
          <w:rFonts w:ascii="Garamond" w:hAnsi="Garamond"/>
          <w:sz w:val="24"/>
          <w:szCs w:val="24"/>
        </w:rPr>
        <w:t>tel. (12) 662 - 42 - 53</w:t>
      </w:r>
      <w:r w:rsidR="00463411" w:rsidRPr="002679F6">
        <w:rPr>
          <w:rFonts w:ascii="Garamond" w:hAnsi="Garamond"/>
          <w:sz w:val="24"/>
          <w:szCs w:val="24"/>
        </w:rPr>
        <w:t>,</w:t>
      </w:r>
    </w:p>
    <w:p w:rsidR="00463411" w:rsidRDefault="00463411" w:rsidP="00EE2820">
      <w:pPr>
        <w:spacing w:after="120" w:line="240" w:lineRule="auto"/>
        <w:rPr>
          <w:rFonts w:ascii="Garamond" w:hAnsi="Garamond"/>
          <w:sz w:val="24"/>
          <w:szCs w:val="24"/>
        </w:rPr>
      </w:pPr>
      <w:r w:rsidRPr="002679F6">
        <w:rPr>
          <w:rFonts w:ascii="Garamond" w:hAnsi="Garamond"/>
          <w:sz w:val="24"/>
          <w:szCs w:val="24"/>
        </w:rPr>
        <w:t xml:space="preserve"> e-mail: </w:t>
      </w:r>
      <w:hyperlink r:id="rId8" w:history="1">
        <w:r w:rsidR="00753BB4" w:rsidRPr="00753BB4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joanna.goszczynska@urk.edu.pl</w:t>
        </w:r>
      </w:hyperlink>
    </w:p>
    <w:p w:rsidR="00753BB4" w:rsidRDefault="00753BB4" w:rsidP="00EE2820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753BB4" w:rsidRPr="002679F6" w:rsidRDefault="00753BB4" w:rsidP="00EE2820">
      <w:pPr>
        <w:spacing w:after="120" w:line="240" w:lineRule="auto"/>
        <w:rPr>
          <w:rStyle w:val="Hipercze"/>
          <w:rFonts w:ascii="Garamond" w:hAnsi="Garamond"/>
          <w:sz w:val="24"/>
          <w:szCs w:val="24"/>
        </w:rPr>
      </w:pPr>
    </w:p>
    <w:p w:rsidR="00424931" w:rsidRPr="002679F6" w:rsidRDefault="00424931" w:rsidP="0042493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424931" w:rsidRPr="002679F6" w:rsidRDefault="00424931" w:rsidP="00424931">
      <w:pPr>
        <w:spacing w:after="0" w:line="360" w:lineRule="auto"/>
        <w:jc w:val="both"/>
        <w:rPr>
          <w:rFonts w:ascii="Garamond" w:hAnsi="Garamond"/>
          <w:b/>
        </w:rPr>
      </w:pPr>
      <w:r w:rsidRPr="002679F6">
        <w:rPr>
          <w:rFonts w:ascii="Garamond" w:hAnsi="Garamond"/>
          <w:b/>
        </w:rPr>
        <w:t>LISTA ZAŁĄCZNIKÓW</w:t>
      </w:r>
    </w:p>
    <w:p w:rsidR="00424931" w:rsidRPr="002679F6" w:rsidRDefault="00424931" w:rsidP="00424931">
      <w:pPr>
        <w:spacing w:after="0" w:line="360" w:lineRule="auto"/>
        <w:jc w:val="both"/>
        <w:rPr>
          <w:rFonts w:ascii="Garamond" w:hAnsi="Garamond"/>
          <w:b/>
        </w:rPr>
      </w:pPr>
    </w:p>
    <w:p w:rsidR="00424931" w:rsidRPr="002679F6" w:rsidRDefault="00424931" w:rsidP="004249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679F6">
        <w:rPr>
          <w:rFonts w:ascii="Garamond" w:hAnsi="Garamond"/>
          <w:sz w:val="24"/>
          <w:szCs w:val="24"/>
        </w:rPr>
        <w:t>1. Formularz oferty</w:t>
      </w:r>
    </w:p>
    <w:p w:rsidR="00424931" w:rsidRPr="002679F6" w:rsidRDefault="00424931" w:rsidP="004249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679F6">
        <w:rPr>
          <w:rFonts w:ascii="Garamond" w:hAnsi="Garamond"/>
          <w:sz w:val="24"/>
          <w:szCs w:val="24"/>
        </w:rPr>
        <w:t>2. Oświadczenie o braku powiązań z zamawiającym</w:t>
      </w:r>
    </w:p>
    <w:p w:rsidR="00424931" w:rsidRPr="002679F6" w:rsidRDefault="00424931" w:rsidP="00424931">
      <w:pPr>
        <w:jc w:val="both"/>
        <w:rPr>
          <w:rFonts w:ascii="Garamond" w:hAnsi="Garamond"/>
          <w:sz w:val="24"/>
          <w:szCs w:val="24"/>
        </w:rPr>
      </w:pPr>
      <w:r w:rsidRPr="002679F6">
        <w:rPr>
          <w:rFonts w:ascii="Garamond" w:hAnsi="Garamond"/>
          <w:sz w:val="24"/>
          <w:szCs w:val="24"/>
        </w:rPr>
        <w:t>3. Oświadczenie</w:t>
      </w:r>
    </w:p>
    <w:p w:rsidR="00424931" w:rsidRPr="002679F6" w:rsidRDefault="00424931" w:rsidP="00463411">
      <w:pPr>
        <w:rPr>
          <w:rFonts w:ascii="Garamond" w:eastAsia="Arial" w:hAnsi="Garamond"/>
          <w:b/>
          <w:sz w:val="24"/>
          <w:szCs w:val="24"/>
        </w:rPr>
      </w:pPr>
    </w:p>
    <w:p w:rsidR="00463411" w:rsidRPr="002679F6" w:rsidRDefault="00463411" w:rsidP="00463411">
      <w:pPr>
        <w:spacing w:after="0" w:line="240" w:lineRule="auto"/>
        <w:rPr>
          <w:rFonts w:ascii="Garamond" w:eastAsia="Arial" w:hAnsi="Garamond"/>
          <w:sz w:val="24"/>
          <w:szCs w:val="24"/>
        </w:rPr>
      </w:pPr>
    </w:p>
    <w:p w:rsidR="00463411" w:rsidRPr="002679F6" w:rsidRDefault="00463411" w:rsidP="00463411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p w:rsidR="00006B75" w:rsidRPr="002679F6" w:rsidRDefault="00006B75" w:rsidP="00DD6367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sectPr w:rsidR="00006B75" w:rsidRPr="002679F6" w:rsidSect="00D346C0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7C" w:rsidRDefault="00A0307C" w:rsidP="00EE48DA">
      <w:pPr>
        <w:spacing w:after="0" w:line="240" w:lineRule="auto"/>
      </w:pPr>
      <w:r>
        <w:separator/>
      </w:r>
    </w:p>
  </w:endnote>
  <w:endnote w:type="continuationSeparator" w:id="0">
    <w:p w:rsidR="00A0307C" w:rsidRDefault="00A0307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7C" w:rsidRDefault="00A0307C" w:rsidP="00EE48DA">
      <w:pPr>
        <w:spacing w:after="0" w:line="240" w:lineRule="auto"/>
      </w:pPr>
      <w:r>
        <w:separator/>
      </w:r>
    </w:p>
  </w:footnote>
  <w:footnote w:type="continuationSeparator" w:id="0">
    <w:p w:rsidR="00A0307C" w:rsidRDefault="00A0307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10" name="Obraz 10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EF264B"/>
    <w:multiLevelType w:val="hybridMultilevel"/>
    <w:tmpl w:val="7D72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C3573"/>
    <w:multiLevelType w:val="hybridMultilevel"/>
    <w:tmpl w:val="941220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258BE"/>
    <w:rsid w:val="0006505D"/>
    <w:rsid w:val="00084917"/>
    <w:rsid w:val="000C38AD"/>
    <w:rsid w:val="000D2D89"/>
    <w:rsid w:val="000E181A"/>
    <w:rsid w:val="00113C88"/>
    <w:rsid w:val="00114AF6"/>
    <w:rsid w:val="00125D15"/>
    <w:rsid w:val="00131D91"/>
    <w:rsid w:val="00140390"/>
    <w:rsid w:val="001703C2"/>
    <w:rsid w:val="00170F27"/>
    <w:rsid w:val="001747F5"/>
    <w:rsid w:val="00184693"/>
    <w:rsid w:val="001A011B"/>
    <w:rsid w:val="001B53C1"/>
    <w:rsid w:val="001C4DAB"/>
    <w:rsid w:val="001D42AD"/>
    <w:rsid w:val="001F5EAD"/>
    <w:rsid w:val="002424E1"/>
    <w:rsid w:val="00253BFA"/>
    <w:rsid w:val="0026256A"/>
    <w:rsid w:val="002679F6"/>
    <w:rsid w:val="00271A80"/>
    <w:rsid w:val="002A0728"/>
    <w:rsid w:val="002A3448"/>
    <w:rsid w:val="002A70AE"/>
    <w:rsid w:val="002B142F"/>
    <w:rsid w:val="002C11FF"/>
    <w:rsid w:val="00300F98"/>
    <w:rsid w:val="00321EA4"/>
    <w:rsid w:val="00323D67"/>
    <w:rsid w:val="00325AA1"/>
    <w:rsid w:val="003265A9"/>
    <w:rsid w:val="00334187"/>
    <w:rsid w:val="00344B9F"/>
    <w:rsid w:val="003571A0"/>
    <w:rsid w:val="00392CF2"/>
    <w:rsid w:val="003A65E9"/>
    <w:rsid w:val="003C7116"/>
    <w:rsid w:val="003E2B34"/>
    <w:rsid w:val="003E7F74"/>
    <w:rsid w:val="00402C0D"/>
    <w:rsid w:val="00406C89"/>
    <w:rsid w:val="00407314"/>
    <w:rsid w:val="0040765F"/>
    <w:rsid w:val="00424931"/>
    <w:rsid w:val="0043206E"/>
    <w:rsid w:val="004322E4"/>
    <w:rsid w:val="004324A2"/>
    <w:rsid w:val="0043261A"/>
    <w:rsid w:val="00457FBD"/>
    <w:rsid w:val="00463411"/>
    <w:rsid w:val="00463FFD"/>
    <w:rsid w:val="0048470F"/>
    <w:rsid w:val="0048643A"/>
    <w:rsid w:val="00491088"/>
    <w:rsid w:val="004A33C1"/>
    <w:rsid w:val="004B43DD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0823"/>
    <w:rsid w:val="005E47C3"/>
    <w:rsid w:val="005F2944"/>
    <w:rsid w:val="00605E70"/>
    <w:rsid w:val="006579D1"/>
    <w:rsid w:val="006730E4"/>
    <w:rsid w:val="00673FE7"/>
    <w:rsid w:val="006957BF"/>
    <w:rsid w:val="006A0570"/>
    <w:rsid w:val="006B412E"/>
    <w:rsid w:val="006B6F11"/>
    <w:rsid w:val="006D2533"/>
    <w:rsid w:val="006F16B0"/>
    <w:rsid w:val="007236E7"/>
    <w:rsid w:val="0072600A"/>
    <w:rsid w:val="00731754"/>
    <w:rsid w:val="007454EF"/>
    <w:rsid w:val="00752DFA"/>
    <w:rsid w:val="00753BB4"/>
    <w:rsid w:val="007547E0"/>
    <w:rsid w:val="0076148D"/>
    <w:rsid w:val="00761AAC"/>
    <w:rsid w:val="00774902"/>
    <w:rsid w:val="00786795"/>
    <w:rsid w:val="007873B3"/>
    <w:rsid w:val="007966DB"/>
    <w:rsid w:val="007A0C79"/>
    <w:rsid w:val="007A3A5F"/>
    <w:rsid w:val="007B3F7D"/>
    <w:rsid w:val="0081485D"/>
    <w:rsid w:val="008163EB"/>
    <w:rsid w:val="00825DDE"/>
    <w:rsid w:val="008344CC"/>
    <w:rsid w:val="00836210"/>
    <w:rsid w:val="00852DED"/>
    <w:rsid w:val="008909B3"/>
    <w:rsid w:val="00895623"/>
    <w:rsid w:val="008960C1"/>
    <w:rsid w:val="008A5315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90AA9"/>
    <w:rsid w:val="00992F75"/>
    <w:rsid w:val="009A02FC"/>
    <w:rsid w:val="009B1253"/>
    <w:rsid w:val="009B788F"/>
    <w:rsid w:val="009D0942"/>
    <w:rsid w:val="009E5A54"/>
    <w:rsid w:val="009F4A4A"/>
    <w:rsid w:val="00A0307C"/>
    <w:rsid w:val="00A351AA"/>
    <w:rsid w:val="00A57B62"/>
    <w:rsid w:val="00A670A6"/>
    <w:rsid w:val="00A757AC"/>
    <w:rsid w:val="00AA0768"/>
    <w:rsid w:val="00AA5A75"/>
    <w:rsid w:val="00AB0F2C"/>
    <w:rsid w:val="00AB65D0"/>
    <w:rsid w:val="00AC74AB"/>
    <w:rsid w:val="00B12D89"/>
    <w:rsid w:val="00B14AEC"/>
    <w:rsid w:val="00B21712"/>
    <w:rsid w:val="00B32362"/>
    <w:rsid w:val="00B34FEC"/>
    <w:rsid w:val="00B5744D"/>
    <w:rsid w:val="00BA77FC"/>
    <w:rsid w:val="00BB2F76"/>
    <w:rsid w:val="00BC737B"/>
    <w:rsid w:val="00BE373C"/>
    <w:rsid w:val="00C1734D"/>
    <w:rsid w:val="00C31540"/>
    <w:rsid w:val="00C31B76"/>
    <w:rsid w:val="00C37C7B"/>
    <w:rsid w:val="00C406F5"/>
    <w:rsid w:val="00C70CEE"/>
    <w:rsid w:val="00C83B44"/>
    <w:rsid w:val="00C9645F"/>
    <w:rsid w:val="00CA34A3"/>
    <w:rsid w:val="00CB1116"/>
    <w:rsid w:val="00CD262D"/>
    <w:rsid w:val="00CE0A83"/>
    <w:rsid w:val="00CF1990"/>
    <w:rsid w:val="00CF6D88"/>
    <w:rsid w:val="00D22D75"/>
    <w:rsid w:val="00D30399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152F8"/>
    <w:rsid w:val="00E46B97"/>
    <w:rsid w:val="00EB542D"/>
    <w:rsid w:val="00EB663C"/>
    <w:rsid w:val="00EC23A1"/>
    <w:rsid w:val="00EC586B"/>
    <w:rsid w:val="00EE2820"/>
    <w:rsid w:val="00EE48DA"/>
    <w:rsid w:val="00EF4336"/>
    <w:rsid w:val="00F13F8B"/>
    <w:rsid w:val="00F1406C"/>
    <w:rsid w:val="00F161F3"/>
    <w:rsid w:val="00F251B8"/>
    <w:rsid w:val="00F46853"/>
    <w:rsid w:val="00F64D3B"/>
    <w:rsid w:val="00F76757"/>
    <w:rsid w:val="00F9340A"/>
    <w:rsid w:val="00FC5411"/>
    <w:rsid w:val="00FC781C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243A32"/>
  <w15:docId w15:val="{749BFCD1-46E1-4B1E-A7D8-A7115DB7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463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3411"/>
    <w:rPr>
      <w:color w:val="0000FF"/>
      <w:u w:val="single"/>
    </w:rPr>
  </w:style>
  <w:style w:type="paragraph" w:customStyle="1" w:styleId="Default">
    <w:name w:val="Default"/>
    <w:basedOn w:val="Normalny"/>
    <w:rsid w:val="004634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goszczynska@u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DB93-92DA-4B7B-8C93-A6BC05EC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625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Joanna Goszczyńska</cp:lastModifiedBy>
  <cp:revision>16</cp:revision>
  <dcterms:created xsi:type="dcterms:W3CDTF">2021-08-02T08:20:00Z</dcterms:created>
  <dcterms:modified xsi:type="dcterms:W3CDTF">2021-08-23T10:23:00Z</dcterms:modified>
</cp:coreProperties>
</file>